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Tourism Matters - Grant Applications Live and Latest Cambridge Model Research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Colleague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bringing you this additional Tourism Matters to let you know that applications for the latest government Additional Restrictions Grants (ARG) are now open. Also that the results of the Cambridge Model Economic Impact Study 2020 have been published.</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b w:val="1"/>
          <w:highlight w:val="white"/>
          <w:u w:val="single"/>
        </w:rPr>
      </w:pPr>
      <w:r w:rsidDel="00000000" w:rsidR="00000000" w:rsidRPr="00000000">
        <w:rPr>
          <w:b w:val="1"/>
          <w:highlight w:val="white"/>
          <w:u w:val="single"/>
          <w:rtl w:val="0"/>
        </w:rPr>
        <w:t xml:space="preserve">Additional Restrictions Grants (ARG</w:t>
      </w:r>
      <w:r w:rsidDel="00000000" w:rsidR="00000000" w:rsidRPr="00000000">
        <w:rPr>
          <w:b w:val="1"/>
          <w:highlight w:val="white"/>
          <w:u w:val="single"/>
          <w:rtl w:val="0"/>
        </w:rPr>
        <w:t xml:space="preserve">)</w:t>
      </w:r>
    </w:p>
    <w:p w:rsidR="00000000" w:rsidDel="00000000" w:rsidP="00000000" w:rsidRDefault="00000000" w:rsidRPr="00000000" w14:paraId="0000000A">
      <w:pPr>
        <w:rPr>
          <w:highlight w:val="white"/>
        </w:rPr>
      </w:pPr>
      <w:r w:rsidDel="00000000" w:rsidR="00000000" w:rsidRPr="00000000">
        <w:rPr>
          <w:highlight w:val="white"/>
          <w:rtl w:val="0"/>
        </w:rPr>
        <w:t xml:space="preserve">As announced on Tuesday 21st December, The Chancellor has made available more than £100 million discretionary funding via the Additional Restrictions Grant for local authorities in England to support businesses.</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The council has received a further £177,000 to distribute on a discretionary basis to businesses that have been severely impacted by COVID-19 restrictions or by the Omicron variant. This funding is in addition to the Omicron Hospitality and Leisure Scheme. Any business that is eligible for the Omicron Hospitality and Leisure Scheme is therefore not eligible for an Additional Restrictions Grant (ARG).</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Many businesses that previously received an ARG have been contacted directly by the council, as they may be eligible for this new Phase Four grant. </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The deadline for submitting applications is 5pm on Friday 18th February</w:t>
      </w:r>
      <w:r w:rsidDel="00000000" w:rsidR="00000000" w:rsidRPr="00000000">
        <w:rPr>
          <w:rtl w:val="0"/>
        </w:rPr>
        <w:t xml:space="preserve"> and payments will be made shortly after this date.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To make an application and for further information on the grant please visit the Thanet District Council </w:t>
      </w:r>
      <w:hyperlink r:id="rId7">
        <w:r w:rsidDel="00000000" w:rsidR="00000000" w:rsidRPr="00000000">
          <w:rPr>
            <w:color w:val="1155cc"/>
            <w:u w:val="single"/>
            <w:rtl w:val="0"/>
          </w:rPr>
          <w:t xml:space="preserve">website </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hd w:fill="ffffff" w:val="clear"/>
        <w:rPr>
          <w:b w:val="1"/>
          <w:u w:val="single"/>
        </w:rPr>
      </w:pPr>
      <w:r w:rsidDel="00000000" w:rsidR="00000000" w:rsidRPr="00000000">
        <w:rPr>
          <w:b w:val="1"/>
          <w:u w:val="single"/>
          <w:rtl w:val="0"/>
        </w:rPr>
        <w:t xml:space="preserve">Cambridge Model Economic Impact Study 2020</w:t>
      </w:r>
    </w:p>
    <w:p w:rsidR="00000000" w:rsidDel="00000000" w:rsidP="00000000" w:rsidRDefault="00000000" w:rsidRPr="00000000" w14:paraId="00000015">
      <w:pPr>
        <w:shd w:fill="ffffff" w:val="clear"/>
        <w:rPr/>
      </w:pPr>
      <w:r w:rsidDel="00000000" w:rsidR="00000000" w:rsidRPr="00000000">
        <w:rPr>
          <w:rtl w:val="0"/>
        </w:rPr>
        <w:t xml:space="preserve">The report shows the impact of the COVID-19 pandemic on our visitor economy with a 49.6% drop in visitors overall compared to 2019, and a 64.7% decline in value.</w:t>
      </w:r>
    </w:p>
    <w:p w:rsidR="00000000" w:rsidDel="00000000" w:rsidP="00000000" w:rsidRDefault="00000000" w:rsidRPr="00000000" w14:paraId="00000016">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17">
      <w:pPr>
        <w:shd w:fill="ffffff" w:val="clear"/>
        <w:rPr/>
      </w:pPr>
      <w:r w:rsidDel="00000000" w:rsidR="00000000" w:rsidRPr="00000000">
        <w:rPr>
          <w:rtl w:val="0"/>
        </w:rPr>
        <w:t xml:space="preserve">There are some positive figures - Thanet saw a 2.4% increase in spend per night and a 9% increase in spend on food and drink in 2020, compared to 2019.</w:t>
      </w:r>
    </w:p>
    <w:p w:rsidR="00000000" w:rsidDel="00000000" w:rsidP="00000000" w:rsidRDefault="00000000" w:rsidRPr="00000000" w14:paraId="00000018">
      <w:pPr>
        <w:shd w:fill="ffffff" w:val="clear"/>
        <w:rPr>
          <w:color w:val="3c4858"/>
        </w:rPr>
      </w:pPr>
      <w:r w:rsidDel="00000000" w:rsidR="00000000" w:rsidRPr="00000000">
        <w:rPr>
          <w:rtl w:val="0"/>
        </w:rPr>
      </w:r>
    </w:p>
    <w:p w:rsidR="00000000" w:rsidDel="00000000" w:rsidP="00000000" w:rsidRDefault="00000000" w:rsidRPr="00000000" w14:paraId="00000019">
      <w:pPr>
        <w:shd w:fill="ffffff" w:val="clear"/>
        <w:rPr/>
      </w:pPr>
      <w:hyperlink r:id="rId8">
        <w:r w:rsidDel="00000000" w:rsidR="00000000" w:rsidRPr="00000000">
          <w:rPr>
            <w:color w:val="1155cc"/>
            <w:u w:val="single"/>
            <w:rtl w:val="0"/>
          </w:rPr>
          <w:t xml:space="preserve">Read the press release here</w:t>
        </w:r>
      </w:hyperlink>
      <w:r w:rsidDel="00000000" w:rsidR="00000000" w:rsidRPr="00000000">
        <w:rPr>
          <w:color w:val="3c4858"/>
          <w:rtl w:val="0"/>
        </w:rPr>
        <w:t xml:space="preserve">. </w:t>
      </w:r>
      <w:r w:rsidDel="00000000" w:rsidR="00000000" w:rsidRPr="00000000">
        <w:rPr>
          <w:rtl w:val="0"/>
        </w:rPr>
        <w:t xml:space="preserve">There are links through to the full report and an infographic which highlights key figures for Thanet and Kent.</w:t>
      </w:r>
    </w:p>
    <w:p w:rsidR="00000000" w:rsidDel="00000000" w:rsidP="00000000" w:rsidRDefault="00000000" w:rsidRPr="00000000" w14:paraId="0000001A">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isitthanet.co.uk/tourismmatters" TargetMode="External"/><Relationship Id="rId7" Type="http://schemas.openxmlformats.org/officeDocument/2006/relationships/hyperlink" Target="https://www.thanet.gov.uk/info-pages/business-support-grants/?question=20836-1" TargetMode="External"/><Relationship Id="rId8" Type="http://schemas.openxmlformats.org/officeDocument/2006/relationships/hyperlink" Target="https://www.visitthanetbusiness.co.uk/business-support/research/cambridge-economic-impact-mode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